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SächsVwKG (Sachsen) — Stundung, Niederschlagung und Erlass</w:t>
      </w:r>
    </w:p>
    <w:p>
      <w:r>
        <w:rPr>
          <w:color w:val="555555"/>
          <w:sz w:val="18"/>
        </w:rPr>
        <w:t xml:space="preserve">Sächsisches Verwaltungskostengesetz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Für die Stundung, die Niederschlagung und den Erlass von Verwaltungskosten und Nebenleistungen gelten die Vorschriften der Sächsischen Haushaltsordnung in der Fassung der Bekanntmachung vom 10. April 2001 (SächsGVBl. S. 153), die zuletzt durch Artikel 1 des Gesetzes vom 14. Dezember 2018 (SächsGVBl. S. 782) geändert worden ist, in der jeweils geltenden Fassung. In den Fällen des § 10 Satz 2 gelten die für diese Behörden verbindlichen entsprechenden Vorschriften.</w:t>
      </w:r>
    </w:p>
    <w:p>
      <w:r>
        <w:rPr>
          <w:color w:val="555555"/>
          <w:sz w:val="17"/>
        </w:rPr>
        <w:t xml:space="preserve">Zitiervorschlag: § 21 SächsVwKG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https://recht.nulegal.eu/gesetze/S%C3%A4chsVwKG/21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