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SächsVertrVO (Sachsen) — Streitigkeiten vor den Verfassungsgerichten</w:t>
      </w:r>
    </w:p>
    <w:p>
      <w:r>
        <w:rPr>
          <w:color w:val="555555"/>
          <w:sz w:val="18"/>
        </w:rPr>
        <w:t xml:space="preserve">Sächsische Vertretungsverordnung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Verfahren vor dem Bundesverfassungsgericht und dem Verfassungsgerichtshof des Freistaates Sachsen wird der Freistaat Sachsen durch das Staatsministerium der Justiz und für Demokratie, Europa und Gleichstellung vertreten.</w:t>
      </w:r>
    </w:p>
    <w:p>
      <w:r>
        <w:rPr>
          <w:color w:val="555555"/>
          <w:sz w:val="17"/>
        </w:rPr>
        <w:t xml:space="preserve">Zitiervorschlag: § 2 SächsVertrVO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https://recht.nulegal.eu/gesetze/S%C3%A4chsVertrVO/2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