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SächsVertrVO (Sachsen) — Übergangsvorschrift</w:t>
      </w:r>
    </w:p>
    <w:p>
      <w:r>
        <w:rPr>
          <w:color w:val="555555"/>
          <w:sz w:val="18"/>
        </w:rPr>
        <w:t xml:space="preserve">Sächsische Vertretungsverordnung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Auf gerichtliche Verfahren, die bis zum Inkrafttreten dieser Verordnung eingeleitet worden sind, ist der erste Abschnitt der Vertretungsverordnung in der Fassung der Bekanntmachung vom 10. April 2013 (SächsGVBl. S. 240), die zuletzt durch die Verordnung vom 19. Februar 2021 (SächsGVBl. S. 322) geändert worden ist, weiter anzuwenden.</w:t>
      </w:r>
    </w:p>
    <w:p>
      <w:r>
        <w:rPr>
          <w:color w:val="555555"/>
          <w:sz w:val="17"/>
        </w:rPr>
        <w:t xml:space="preserve">Zitiervorschlag: § 11 SächsVertrVO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https://recht.nulegal.eu/gesetze/S%C3%A4chsVertrVO/11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