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SächsVermKatGDVO (Sachsen)</w:t>
      </w:r>
    </w:p>
    <w:p>
      <w:r>
        <w:rPr>
          <w:color w:val="555555"/>
          <w:sz w:val="18"/>
        </w:rPr>
        <w:t xml:space="preserve">Durchführungsverordnung zum Sächsischen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29 Abs. 1 Nr. 1 bis 8 des Gesetzes über das amtliche Vermessungswesen und das Liegenschaftskataster im Freistaat Sachsen (Sächsisches Vermessungs- und Katastergesetz – SächsVermKatG ) vom 29. Januar 2008 (SächsGVBl. S. 138, 148), geändert durch Artikel 2 des Gesetzes vom 19. Mai 2010 (SächsGVBl. S. 134, 140), wird verordnet:</w:t>
      </w:r>
    </w:p>
    <w:p>
      <w:r>
        <w:rPr>
          <w:color w:val="555555"/>
          <w:sz w:val="17"/>
        </w:rPr>
        <w:t xml:space="preserve">Zitiervorschlag: Eingangsformel SächsVermKatGDVO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