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SächsVermKatGDVO (Sachsen) — Verwendung von Daten anderer Stellen, Mitteilungen</w:t>
      </w:r>
    </w:p>
    <w:p>
      <w:r>
        <w:rPr>
          <w:color w:val="555555"/>
          <w:sz w:val="18"/>
        </w:rPr>
        <w:t xml:space="preserve">Durchführungsverordnung zum Sächsischen Vermessungs- und Katastergesetz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Daten anderer Stellen sind zur Verwendung für die Fortführung des Liegenschaftskatasters geeignet, wenn</w:t>
      </w:r>
    </w:p>
    <w:p>
      <w:r>
        <w:t xml:space="preserve">1. von der anderen Stelle nachgewiesen wird, dass sie in einer Vermessung erfasst wurden, die den vermessungstechnischen Anforderungen einer Katastervermessung genügt,</w:t>
      </w:r>
    </w:p>
    <w:p>
      <w:r>
        <w:t xml:space="preserve">2. eine Darstellung des äußeren Gebäudeumrings oder der Nutzung des Flurstücks vorgelegt wird,</w:t>
      </w:r>
    </w:p>
    <w:p>
      <w:r>
        <w:t xml:space="preserve">3. die Koordinaten des äußeren Gebäudeumrings (§ 14 Absatz 5) oder der Grenzen der Nutzungen des Flurstücks im amtlichen Lagereferenzsystem vorgelegt werden,</w:t>
      </w:r>
    </w:p>
    <w:p>
      <w:r>
        <w:t xml:space="preserve">4. sie in digitaler Form in einem für die untere Vermessungsbehörde verarbeitbaren Datenformat übermittelt werden und</w:t>
      </w:r>
    </w:p>
    <w:p>
      <w:r>
        <w:t xml:space="preserve">5. sich das Liegenschaftskataster widerspruchsfrei fortführen lässt.</w:t>
      </w:r>
    </w:p>
    <w:p>
      <w:r>
        <w:t xml:space="preserve">(2) Für den Fall, dass</w:t>
      </w:r>
    </w:p>
    <w:p>
      <w:r>
        <w:t xml:space="preserve">1. ein Gebäude vollständig abgebrochen wurde oder</w:t>
      </w:r>
    </w:p>
    <w:p>
      <w:r>
        <w:t xml:space="preserve">2. eine Nutzung geändert wurde und die neue Nutzung einen bereits im Liegenschaftskataster abgegrenzten Teil eines Flurstücks oder das gesamte Flurstück umfasst,</w:t>
      </w:r>
    </w:p>
    <w:p>
      <w:r>
        <w:t xml:space="preserve">kann das Liegenschaftskataster aufgrund einer schriftlichen Mitteilung eines Grundstückseigentümers des betroffenen Flurstücks oder einer Behörde an die untere Vermessungsbehörde fortgeführt werden.</w:t>
      </w:r>
    </w:p>
    <w:p>
      <w:r>
        <w:rPr>
          <w:color w:val="555555"/>
          <w:sz w:val="17"/>
        </w:rPr>
        <w:t xml:space="preserve">Zitiervorschlag: § 8 SächsVermKatGDVO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https://recht.nulegal.eu/gesetze/S%C3%A4chsVermKatGDVO/8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SächsVermKatGDVO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