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SächsVermKatGDVO (Sachsen) — Präsentationsausgaben aus dem Liegenschaftskataster</w:t>
      </w:r>
    </w:p>
    <w:p>
      <w:r>
        <w:rPr>
          <w:color w:val="555555"/>
          <w:sz w:val="18"/>
        </w:rPr>
        <w:t xml:space="preserve">Durchführungsverordnung zum Sächsischen Vermessungs- und Katastergesetz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den Präsentationsausgaben aus dem Liegenschaftskataster gehören</w:t>
      </w:r>
    </w:p>
    <w:p>
      <w:r>
        <w:t xml:space="preserve">1. die Liegenschaftskarte, der Flurstücksnachweis, der Flurstücks- und Eigentumsnachweis, der Grundstücksnachweis und der Bestandsnachweis,</w:t>
      </w:r>
    </w:p>
    <w:p>
      <w:r>
        <w:t xml:space="preserve">2. die Bodenschätzungsergebnisse sowie die Lage und Bezeichnung der Bodenprofile nach § 14 des Bodenschätzungsgesetzes vom 20. Dezember 2007 (BGBl. I S. 3150, 3176), das zuletzt durch Artikel 15 des Gesetzes vom 26. November 2019 (BGBl. I S. 1794) geändert worden ist, in der jeweils geltenden Fassung, sowie</w:t>
      </w:r>
    </w:p>
    <w:p>
      <w:r>
        <w:t xml:space="preserve">3. Darstellungen aus den Liegenschaftskatasterakten.</w:t>
      </w:r>
    </w:p>
    <w:p>
      <w:r>
        <w:t xml:space="preserve">(2) In der Liegenschaftskarte werden, in der Regel im Maßstab 1 : 1 000,</w:t>
      </w:r>
    </w:p>
    <w:p>
      <w:r>
        <w:t xml:space="preserve">1. die Flurstücke mit ihrer Flurstücksnummer, ihren Grenzen, Abmarkungen und Lagebezeichnungen,</w:t>
      </w:r>
    </w:p>
    <w:p>
      <w:r>
        <w:t xml:space="preserve">2. die Nutzungen und Gebäude,</w:t>
      </w:r>
    </w:p>
    <w:p>
      <w:r>
        <w:t xml:space="preserve">3. die Grenzen von Gemarkungen und Gebietskörperschaften sowie</w:t>
      </w:r>
    </w:p>
    <w:p>
      <w:r>
        <w:t xml:space="preserve">4. der Umfang der von öffentlich-rechtlichen Festlegungen und Verfahren sowie amtlichen Feststellungen betroffenen Gebiete</w:t>
      </w:r>
    </w:p>
    <w:p>
      <w:r>
        <w:t xml:space="preserve">bildlich dargestellt.</w:t>
      </w:r>
    </w:p>
    <w:p>
      <w:r>
        <w:t xml:space="preserve">(3) Im Flurstücksnachweis werden die Flurstücke mit</w:t>
      </w:r>
    </w:p>
    <w:p>
      <w:r>
        <w:t xml:space="preserve">1. ihren Ordnungsmerkmalen, Lagebezeichnungen und Flächengrößen,</w:t>
      </w:r>
    </w:p>
    <w:p>
      <w:r>
        <w:t xml:space="preserve">2. den Nutzungen,</w:t>
      </w:r>
    </w:p>
    <w:p>
      <w:r>
        <w:t xml:space="preserve">3. ihrer kommunalen Gebietszugehörigkeit,</w:t>
      </w:r>
    </w:p>
    <w:p>
      <w:r>
        <w:t xml:space="preserve">4. den Angaben zu Buchungsart, Grundbuchamt, Grundbuchbezirk, Grundbuchblattnummer und der laufenden Nummer des Grundstücks im Bestandsverzeichnis des Grundbuchblatts sowie</w:t>
      </w:r>
    </w:p>
    <w:p>
      <w:r>
        <w:t xml:space="preserve">5. den Hinweisen auf öffentlich-rechtliche Festlegungen und Verfahren sowie auf amtliche Feststellungen</w:t>
      </w:r>
    </w:p>
    <w:p>
      <w:r>
        <w:t xml:space="preserve">beschrieben. Flurstücks- und Eigentumsnachweis, Grundstücksnachweis sowie Bestandsnachweis enthalten darüber hinaus die Eigentümerdaten des amtlichen Vermessungswesens.</w:t>
      </w:r>
    </w:p>
    <w:p>
      <w:r>
        <w:rPr>
          <w:color w:val="555555"/>
          <w:sz w:val="17"/>
        </w:rPr>
        <w:t xml:space="preserve">Zitiervorschlag: § 6 SächsVermKatGDVO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https://recht.nulegal.eu/gesetze/S%C3%A4chsVermKatGDVO/6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SächsVermKatGDVO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