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SächsVermKatGDVO (Sachsen) — Inkrafttreten und Außerkrafttreten</w:t>
      </w:r>
    </w:p>
    <w:p>
      <w:r>
        <w:rPr>
          <w:color w:val="555555"/>
          <w:sz w:val="18"/>
        </w:rPr>
        <w:t xml:space="preserve">Durchführungsverordnung zum Sächsischen Vermessungs- und Katastergesetz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Rechtsverordnung tritt am Tage nach ihrer Verkündung in Kraft. Gleichzeitig tritt die Verordnung des Sächsischen Staatsministeriums des Innern zur Durchführung des Sächsischen Vermessungsgesetzes (Durchführungsverordnung zum Sächsischen Vermessungsgesetz – DVOSächsVermG) vom 1. September 2003 (SächsGVBl. S. 342) außer Kraft.</w:t>
      </w:r>
    </w:p>
    <w:p>
      <w:r>
        <w:t xml:space="preserve">Dresden, den 6. Juli 2011</w:t>
      </w:r>
    </w:p>
    <w:p>
      <w:r>
        <w:t xml:space="preserve">Der Staatsminister des Innern</w:t>
      </w:r>
    </w:p>
    <w:p>
      <w:r>
        <w:t xml:space="preserve">Markus Ulbig</w:t>
      </w:r>
    </w:p>
    <w:p>
      <w:r>
        <w:rPr>
          <w:color w:val="555555"/>
          <w:sz w:val="17"/>
        </w:rPr>
        <w:t xml:space="preserve">Zitiervorschlag: § 21 SächsVermKatGDVO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https://recht.nulegal.eu/gesetze/S%C3%A4chsVermKatGDVO/21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