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 SächsVermKatGDVO (Sachsen) — Ankündigung von Vermessungsarbeiten</w:t>
      </w:r>
    </w:p>
    <w:p>
      <w:r>
        <w:rPr>
          <w:color w:val="555555"/>
          <w:sz w:val="18"/>
        </w:rPr>
        <w:t xml:space="preserve">Durchführungsverordnung zum Sächsischen Vermessungs- und Katastergesetz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Soll ein Flurstück oder eine bauliche Anlage betreten oder befahren werden, ist dies mindestens fünf Werktage vor Beginn der örtlichen Vermessungsarbeiten anzukündigen.</w:t>
      </w:r>
    </w:p>
    <w:p>
      <w:r>
        <w:rPr>
          <w:color w:val="555555"/>
          <w:sz w:val="17"/>
        </w:rPr>
        <w:t xml:space="preserve">Zitiervorschlag: § 2 SächsVermKatGDVO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https://recht.nulegal.eu/gesetze/S%C3%A4chsVermKatGDVO/2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