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SächsVermGeoAPO (Sachsen) — Inkrafttreten, Außerkrafttreten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Sächsische Ausbildungs- und Prüfungsordnung vermessungstechnischer Verwaltungsdienst vom 28. Mai 2009 (SächsGVBl. S. 267), die durch Artikel 21 der Verordnung vom 1. März 2012 (SächsGVBl. S. 173) geändert worden ist, außer Kraft.</w:t>
      </w:r>
    </w:p>
    <w:p>
      <w:r>
        <w:t xml:space="preserve">Dresden, den 24. August 2016</w:t>
      </w:r>
    </w:p>
    <w:p>
      <w:r>
        <w:t xml:space="preserve">Der Staatsminister des Innern</w:t>
      </w:r>
    </w:p>
    <w:p>
      <w:r>
        <w:t xml:space="preserve">Markus Ulbig</w:t>
      </w:r>
    </w:p>
    <w:p>
      <w:r>
        <w:t xml:space="preserve">Der Staatsminister für Umwelt und Landwirtschaft</w:t>
      </w:r>
    </w:p>
    <w:p>
      <w:r>
        <w:t xml:space="preserve">Thomas Schmidt</w:t>
      </w:r>
    </w:p>
    <w:p>
      <w:r>
        <w:rPr>
          <w:color w:val="555555"/>
          <w:sz w:val="17"/>
        </w:rPr>
        <w:t xml:space="preserve">Zitiervorschlag: § 47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SächsVermGeoAPO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