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SächsVerfGHG (Sachsen) — Kammern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Verfassungsgerichtshof beruft für die Dauer eines Geschäftsjahres mehrere Kammern. Jede Kammer besteht aus zwei Berufsrichterinnen oder Berufsrichtern und einem anderen Mitglied.</w:t>
      </w:r>
    </w:p>
    <w:p>
      <w:r>
        <w:t xml:space="preserve">(2) Der Verfassungsgerichtshof beschließt vor Beginn eines Geschäftsjahres für dessen Dauer die Zahl und Zusammensetzung der Kammern sowie die Verteilung der auf sie zu übertragenden Verfassungsbeschwerden.</w:t>
      </w:r>
    </w:p>
    <w:p>
      <w:r>
        <w:rPr>
          <w:color w:val="555555"/>
          <w:sz w:val="17"/>
        </w:rPr>
        <w:t xml:space="preserve">Zitiervorschlag: § 9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