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SächsVerfGHG (Sachsen) — Vorsitz, Beschlussfähigkeit, Abstimmung</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Präsidentin oder der Präsident hat den Vorsitz im Verfassungsgerichtshof und führt die Geschäfte des Verfassungsgerichtshofes. Deren oder dessen ständige Vertretung übt die Vizepräsidentin oder der Vizepräsident aus. Ist auch diese oder dieser verhindert, übernimmt das im Verfassungsgerichtshof dienstälteste, bei gleichem Dienstalter das lebensältere nicht verhinderte berufsrichterliche Mitglied, bei Verhinderung aller berufsrichterlichen Mitglieder der im Verfassungsgerichtshof dienstälteste und bei gleichem Dienstalter der lebensältere nicht verhinderte berufsrichterliche Stellvertretende die Aufgaben der Präsidentin oder des Präsidenten.</w:t>
      </w:r>
    </w:p>
    <w:p>
      <w:r>
        <w:t xml:space="preserve">(2) Der Verfassungsgerichtshof ist beschlussfähig, wenn mindestens sieben seiner Mitglieder, darunter mindestens vier seiner berufsrichterlichen Mitglieder, mitwirken. § 9 Absatz 1 Satz 2 und § 15 Satz 1 bleiben unberührt.</w:t>
      </w:r>
    </w:p>
    <w:p>
      <w:r>
        <w:t xml:space="preserve">(3) In den Verfahren gemäß § 7 Nummer 9 bedarf es zu einer dem Mitglied des Landtages oder der Staatsregierung nachteiligen Entscheidung einer Mehrheit von zwei Dritteln der zur Entscheidung berufenen Mitglieder des Verfassungsgerichtshofes. Im Übrigen entscheidet die Mehrheit der mitwirkenden Mitglieder des Verfassungsgerichtshofes. Bei Stimmengleichheit kann eine Unvereinbarkeit mit der Verfassung des Freistaates Sachsen oder eine Verletzung von Bestimmungen der Verfassung des Freistaates Sachsen oder anderen maßgeblichen Rechts nicht festgestellt werden; ein sonstiger Antrag ist in diesem Fall abgelehnt.</w:t>
      </w:r>
    </w:p>
    <w:p>
      <w:r>
        <w:rPr>
          <w:color w:val="555555"/>
          <w:sz w:val="17"/>
        </w:rPr>
        <w:t xml:space="preserve">Zitiervorschlag: § 8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