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SächsVerfGHG (Sachsen) — Rechtsstellung</w:t>
      </w:r>
    </w:p>
    <w:p>
      <w:r>
        <w:rPr>
          <w:color w:val="555555"/>
          <w:sz w:val="18"/>
        </w:rPr>
        <w:t xml:space="preserve">Sächsisches Verfassungsgerichtshofsgesetz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Mitglieder des Verfassungsgerichtshofes sind als Richter unabhängig und nur dem Gesetz unterworfen.</w:t>
      </w:r>
    </w:p>
    <w:p>
      <w:r>
        <w:t xml:space="preserve">(2) Die berufsrichterlichen Mitglieder des Verfassungsgerichtshofes üben die Tätigkeit im Verfassungsgerichtshof als Nebenamt aus. Die Vorschriften des Deutschen Richtergesetzes und des Richtergesetzes des Freistaates Sachsen gelten auch für ihre Tätigkeit beim Verfassungsgerichtshof, soweit in diesem Gesetz nichts anderes bestimmt ist. Die anderen Mitglieder des Verfassungsgerichtshofes sind ehrenamtlich tätig.</w:t>
      </w:r>
    </w:p>
    <w:p>
      <w:r>
        <w:t xml:space="preserve">(3) Die Mitglieder des Verfassungsgerichtshofes können nur nach den für Richter im Landesdienst geltenden Vorschriften vorläufig und endgültig ihres Amtes enthoben werden. Einleitungsbehörde ist die Staatsregierung. Die dienstgerichtliche Entscheidung trifft der Verfassungsgerichtshof. Die Amtsenthebung bedarf der Mehrheit von zwei Dritteln der Mitglieder des Verfassungsgerichtshofes; dabei wirkt anstelle des betroffenen Mitglieds dessen Stellvertreter mit.</w:t>
      </w:r>
    </w:p>
    <w:p>
      <w:r>
        <w:rPr>
          <w:color w:val="555555"/>
          <w:sz w:val="17"/>
        </w:rPr>
        <w:t xml:space="preserve">Zitiervorschlag: § 5 SächsVerfGHG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https://recht.nulegal.eu/gesetze/S%C3%A4chsVerfGHG/5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