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SächsVerfGHG (Sachsen) — Urteil</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Gegenstand der Urteilsfindung ist der in der Anklage bezeichnete Sachverhalt, wie er sich nach dem Ergebnis der Verhandlung darstellt.</w:t>
      </w:r>
    </w:p>
    <w:p>
      <w:r>
        <w:t xml:space="preserve">(2) Das Urteil lautet auf Einstellung des Verfahrens, auf Freispruch oder auf Feststellung, dass die fortdauernde Innehabung von Mandat oder Mitgliedschaft in der Staatsregierung durch die oder den Angeklagten aus einem der Gründe des Artikels 118 Absatz 1 der Verfassung des Freistaates Sachsen als untragbar erscheint (Verurteilung).</w:t>
      </w:r>
    </w:p>
    <w:p>
      <w:r>
        <w:t xml:space="preserve">(3) Die Einstellung des Verfahrens ist auszusprechen, wenn ein Verfahrenshindernis besteht.</w:t>
      </w:r>
    </w:p>
    <w:p>
      <w:r>
        <w:t xml:space="preserve">(4) Wird die oder der Angeklagte freigesprochen, müssen die Urteilsgründe ergeben, ob sie oder er nicht überführt oder ob ihre oder seine Unschuld erwiesen ist.</w:t>
      </w:r>
    </w:p>
    <w:p>
      <w:r>
        <w:t xml:space="preserve">(5) Wird die oder der Angeklagte verurteilt, müssen die Urteilsgründe die erwiesenen Tatsachen darlegen, aus denen sich die Erfüllung des Tatbestandes des Artikels 118 Absatz 1 der Verfassung des Freistaates Sachsen ergibt. Der Verfassungsgerichtshof hat der oder dem Angeklagten das Mandat oder das Amt abzuerkennen. Der Verfassungsgerichtshof kann die vollständige oder teilweise Entziehung der als Mitglied des Landtages oder der Staatsregierung erworbenen Versorgungsansprüche aussprechen. Der Verlust des Mandats oder der Mitgliedschaft in der Staatsregierung und die Entziehung von Versorgungsansprüchen treten mit der Verkündung des Urteils ein.</w:t>
      </w:r>
    </w:p>
    <w:p>
      <w:r>
        <w:rPr>
          <w:color w:val="555555"/>
          <w:sz w:val="17"/>
        </w:rPr>
        <w:t xml:space="preserve">Zitiervorschlag: § 43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