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SächsVerfGHG (Sachsen) — Antrag, Entscheidung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Verfassungsgerichtshof entscheidet auf Antrag der Präsidentin oder des Präsidenten des Landtages über die Zulässigkeit eines Volksantrags.</w:t>
      </w:r>
    </w:p>
    <w:p>
      <w:r>
        <w:t xml:space="preserve">(2) Der Verfassungsgerichtshof gibt den Antragstellern und der Staatsregierung Gelegenheit zur Äußerung binnen einer zu bestimmenden Frist.</w:t>
      </w:r>
    </w:p>
    <w:p>
      <w:r>
        <w:rPr>
          <w:color w:val="555555"/>
          <w:sz w:val="17"/>
        </w:rPr>
        <w:t xml:space="preserve">Zitiervorschlag: § 33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