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SächsVerfGHG (Sachsen) — Anhörung Dritter, Entscheidung</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Verfassungsgerichtshof gibt dem Verfassungsorgan, dessen Handlung oder Unterlassung in der Verfassungsbeschwerde beanstandet wird, Gelegenheit, sich binnen einer zu bestimmenden Frist zu äußern.</w:t>
      </w:r>
    </w:p>
    <w:p>
      <w:r>
        <w:t xml:space="preserve">(2) Ging die Handlung oder Unterlassung von einer Staatsministerin oder einem Staatsminister oder einer Behörde des Landes aus, so ist der zuständigen Staatsministerin oder dem zuständigen Staatsminister Gelegenheit zur Äußerung zu geben.</w:t>
      </w:r>
    </w:p>
    <w:p>
      <w:r>
        <w:t xml:space="preserve">(3) Richtet sich die Verfassungsbeschwerde gegen eine gerichtliche Entscheidung, so gibt der Verfassungsgerichtshof auch der oder dem durch die Entscheidung Begünstigten Gelegenheit zur Äußerung. Er kann hiervon absehen, wenn die Verfassungsbeschwerde als offensichtlich unzulässig oder offensichtlich unbegründet erscheint.</w:t>
      </w:r>
    </w:p>
    <w:p>
      <w:r>
        <w:t xml:space="preserve">(4) Richtet sich die Verfassungsbeschwerde unmittelbar oder mittelbar gegen ein Gesetz, so ist § 22 entsprechend anzuwenden.</w:t>
      </w:r>
    </w:p>
    <w:p>
      <w:r>
        <w:t xml:space="preserve">(5) Die in den Absätzen 1, 2 und 4 genannten Verfassungsorgane können dem Verfahren beitreten.</w:t>
      </w:r>
    </w:p>
    <w:p>
      <w:r>
        <w:t xml:space="preserve">(6) Der Verfassungsgerichtshof überträgt die Entscheidung über die Verfassungsbeschwerde durch Beschluss auf die zuständige Kammer, wenn die Verfassungsbeschwerde die Klärung einer verfassungsrechtlichen Frage nicht erfordert und die Angelegenheit nicht von besonderer Bedeutung ist.</w:t>
      </w:r>
    </w:p>
    <w:p>
      <w:r>
        <w:t xml:space="preserve">(7) Der Verfassungsgerichtshof entscheidet über Verfassungsbeschwerden ohne mündliche Verhandlung, wenn er nichts anderes beschließt. Die Kammern entscheiden über Verfassungsbeschwerden im schriftlichen Verfahren.</w:t>
      </w:r>
    </w:p>
    <w:p>
      <w:r>
        <w:rPr>
          <w:color w:val="555555"/>
          <w:sz w:val="17"/>
        </w:rPr>
        <w:t xml:space="preserve">Zitiervorschlag: § 30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