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SächsVerfGHG (Sachsen) — Zulässigkeit des Antrags</w:t>
      </w:r>
    </w:p>
    <w:p>
      <w:r>
        <w:rPr>
          <w:color w:val="555555"/>
          <w:sz w:val="18"/>
        </w:rPr>
        <w:t xml:space="preserve">Sächsisches Verfassungsgerichtshofsgesetz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Antrag der Staatsregierung oder eines Viertels der Mitglieder des Landtages gemäß Artikel 81 Absatz 1 Nummer 2 der Verfassung des Freistaates Sachsen ist nur zulässig, wenn einer der Antragsberechtigten Landesrecht</w:t>
      </w:r>
    </w:p>
    <w:p>
      <w:r>
        <w:t xml:space="preserve">1. wegen seiner förmlichen oder sachlichen Unvereinbarkeit mit der Verfassung des Freistaates Sachsen für nichtig hält oder</w:t>
      </w:r>
    </w:p>
    <w:p>
      <w:r>
        <w:t xml:space="preserve">2. für gültig hält, nachdem ein Gericht, eine Verwaltungsbehörde oder ein Organ des Bundes oder des Landes das Recht als unvereinbar mit der Verfassung des Freistaates Sachsen nicht angewendet hat.</w:t>
      </w:r>
    </w:p>
    <w:p>
      <w:r>
        <w:rPr>
          <w:color w:val="555555"/>
          <w:sz w:val="17"/>
        </w:rPr>
        <w:t xml:space="preserve">Zitiervorschlag: § 21 SächsVerfGHG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https://recht.nulegal.eu/gesetze/S%C3%A4chsVerfGHG/21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