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SächsVerfGHG (Sachsen) — Beitritt zum Verfahren</w:t>
      </w:r>
    </w:p>
    <w:p>
      <w:r>
        <w:rPr>
          <w:color w:val="555555"/>
          <w:sz w:val="18"/>
        </w:rPr>
        <w:t xml:space="preserve">Sächsisches Verfassungsgerichtshofsgesetz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Antragsteller und dem Antragsgegner können in jeder Lage des Verfahrens andere in § 17 genannte Antragsberechtigte beitreten, wenn die Entscheidung auch für ihre Zuständigkeiten von Bedeutung ist.</w:t>
      </w:r>
    </w:p>
    <w:p>
      <w:r>
        <w:t xml:space="preserve">(2) Der Verfassungsgerichtshof gibt dem Landtag und der Staatsregierung von der Einleitung des Verfahrens Kenntnis.</w:t>
      </w:r>
    </w:p>
    <w:p>
      <w:r>
        <w:rPr>
          <w:color w:val="555555"/>
          <w:sz w:val="17"/>
        </w:rPr>
        <w:t xml:space="preserve">Zitiervorschlag: § 19 SächsVerfGHG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https://recht.nulegal.eu/gesetze/S%C3%A4chsVerfGHG/19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