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SächsVerfGHG (Sachsen) — Kosten und Auslagenerstattung [anstatt §§ 34 und 34a des Bundesverfassungsgerichtsgesetzes]</w:t>
      </w:r>
    </w:p>
    <w:p>
      <w:r>
        <w:rPr>
          <w:color w:val="555555"/>
          <w:sz w:val="18"/>
        </w:rPr>
        <w:t xml:space="preserve">Sächsisches Verfassungsgerichtshofsgesetz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Verfahren des Verfassungsgerichtshofes ist kostenfrei. § 34 Absatz 2 und 3 des Bundesverfassungsgerichtsgesetzes findet keine Anwendung.</w:t>
      </w:r>
    </w:p>
    <w:p>
      <w:r>
        <w:t xml:space="preserve">(2) Erweist sich im Verfahren nach § 7 Nummer 9 der Antrag auf Aberkennung des Mandats oder Amtes als unbegründet, so sind der Angeklagten oder dem Angeklagten die notwendigen Auslagen einschließlich der Kosten der Verteidigung zu erstatten.</w:t>
      </w:r>
    </w:p>
    <w:p>
      <w:r>
        <w:t xml:space="preserve">(3) Erweist sich eine Verfassungsbeschwerde als begründet, so sind der Beschwerdeführerin oder dem Beschwerdeführer die notwendigen Auslagen ganz oder teilweise zu erstatten.</w:t>
      </w:r>
    </w:p>
    <w:p>
      <w:r>
        <w:t xml:space="preserve">(4) In den übrigen Fällen kann der Verfassungsgerichtshof volle oder teilweise Erstattung der notwendigen Auslagen anordnen.</w:t>
      </w:r>
    </w:p>
    <w:p>
      <w:r>
        <w:rPr>
          <w:color w:val="555555"/>
          <w:sz w:val="17"/>
        </w:rPr>
        <w:t xml:space="preserve">Zitiervorschlag: § 16 SächsVerfGHG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https://recht.nulegal.eu/gesetze/S%C3%A4chsVerfGHG/16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