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SächsVerfGHG (Sachsen) — Einstweilige Anordnungen [anstatt § 32 Absatz 7 des Bundesverfassungsgerichtsgesetzes]</w:t>
      </w:r>
    </w:p>
    <w:p>
      <w:r>
        <w:rPr>
          <w:color w:val="555555"/>
          <w:sz w:val="18"/>
        </w:rPr>
        <w:t xml:space="preserve">Sächsisches Verfassungsgerichtshofsgesetz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Bei besonderer Dringlichkeit kann die einstweilige Anordnung erlassen werden, wenn mindestens drei berufsrichterliche Mitglieder des Verfassungsgerichtshofes mitwirken und der Beschluss einstimmig gefasst wird. Sie tritt nach einem Monat außer Kraft. Wird sie durch den Verfassungsgerichtshof in der Besetzung nach § 8 Absatz 2 bestätigt, so tritt sie sechs Monate nach ihrem Erlass außer Kraft.</w:t>
      </w:r>
    </w:p>
    <w:p>
      <w:r>
        <w:rPr>
          <w:color w:val="555555"/>
          <w:sz w:val="17"/>
        </w:rPr>
        <w:t xml:space="preserve">Zitiervorschlag: § 15 SächsVerfGHG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https://recht.nulegal.eu/gesetze/S%C3%A4chsVerfGHG/15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