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SächsVerfGHG (Sachsen) — Kein Sondervotum [zu § 30 Absatz 2 des Bundesverfassungsgerichtsgesetzes]</w:t>
      </w:r>
    </w:p>
    <w:p>
      <w:r>
        <w:rPr>
          <w:color w:val="555555"/>
          <w:sz w:val="18"/>
        </w:rPr>
        <w:t xml:space="preserve">Sächsisches Verfassungsgerichtshofsgesetz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30 Absatz 2 des Bundesverfassungsgerichtsgesetzes findet keine Anwendung.</w:t>
      </w:r>
    </w:p>
    <w:p>
      <w:r>
        <w:rPr>
          <w:color w:val="555555"/>
          <w:sz w:val="17"/>
        </w:rPr>
        <w:t xml:space="preserve">Zitiervorschlag: § 13 SächsVerfGHG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https://recht.nulegal.eu/gesetze/S%C3%A4chsVerfGHG/13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