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SächsVerfGHG (Sachsen) — Anwendbarkeit des Verfahrensrechts des Bundesverfassungsgerichts, Geschäftsordnung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in diesem Gesetz nichts anderes bestimmt ist, sind auf das Verfahren vor dem Verfassungsgerichtshof die allgemeinen Verfahrensvorschriften des Bundesverfassungsgerichtsgesetzes in der Fassung der Bekanntmachung vom 11. August 1993 (BGBl. I S. 1473), das zuletzt durch Artikel 1 des Gesetzes vom 18. Juli 2017 (BGBl. I S. 2730) geändert worden ist, in der jeweils geltenden Fassung, entsprechend anzuwenden.</w:t>
      </w:r>
    </w:p>
    <w:p>
      <w:r>
        <w:t xml:space="preserve">(2) Soweit in diesem Gesetz nichts anderes bestimmt ist, regelt der Verfassungsgerichtshof sein Verfahren und seinen Geschäftsgang durch eine Geschäftsordnung, die im Sächsischen Gesetz- und Verordnungsblatt zu veröffentlichen ist.</w:t>
      </w:r>
    </w:p>
    <w:p>
      <w:r>
        <w:rPr>
          <w:color w:val="555555"/>
          <w:sz w:val="17"/>
        </w:rPr>
        <w:t xml:space="preserve">Zitiervorschlag: § 10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