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SächsVSG (Sachsen)</w:t>
      </w:r>
    </w:p>
    <w:p>
      <w:r>
        <w:rPr>
          <w:color w:val="555555"/>
          <w:sz w:val="18"/>
        </w:rPr>
        <w:t xml:space="preserve">Sächsisches Verfassungsschutzgesetz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22. Juli 2024</w:t>
      </w:r>
    </w:p>
    <w:p>
      <w:r>
        <w:rPr>
          <w:color w:val="555555"/>
          <w:sz w:val="17"/>
        </w:rPr>
        <w:t xml:space="preserve">Zitiervorschlag: Eingangsformel SächsVSG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https://recht.nulegal.eu/gesetze/S%C3%A4chsVSG/eingangsformel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