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SächsUrlMuEltVO (Sachsen) — Zuständigkeit</w:t>
      </w:r>
    </w:p>
    <w:p>
      <w:r>
        <w:rPr>
          <w:color w:val="555555"/>
          <w:sz w:val="18"/>
        </w:rPr>
        <w:t xml:space="preserve">Sächsische Urlaubs-, Mutterschutz- und Elternzeitverordnung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Entscheidungen nach dieser Verordnung ist die oder der Dienstvorgesetzte zuständig, soweit nichts anderes bestimmt ist.</w:t>
      </w:r>
    </w:p>
    <w:p>
      <w:r>
        <w:rPr>
          <w:color w:val="555555"/>
          <w:sz w:val="17"/>
        </w:rPr>
        <w:t xml:space="preserve">Zitiervorschlag: § 3 SächsUrlMuEltVO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https://recht.nulegal.eu/gesetze/S%C3%A4chsUrlMuEltVO/3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