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SächsUnfEntschVO (Sachsen) — Andere Angehörige des öffentlichen Dienstes</w:t>
      </w:r>
    </w:p>
    <w:p>
      <w:r>
        <w:rPr>
          <w:color w:val="555555"/>
          <w:sz w:val="18"/>
        </w:rPr>
        <w:t xml:space="preserve">Sächsische Unfallentschädigungsverordnung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Beschäftigte, zu deren Dienstobliegenheiten Tätigkeiten der in § 1 Abs. 1 Nr. 1 bis 9 bezeichneten Art gehören, gelten die §§ 2 bis 10 entsprechend.</w:t>
      </w:r>
    </w:p>
    <w:p>
      <w:r>
        <w:rPr>
          <w:color w:val="555555"/>
          <w:sz w:val="17"/>
        </w:rPr>
        <w:t xml:space="preserve">Zitiervorschlag: § 11 SächsUnfEntschVO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https://recht.nulegal.eu/gesetze/S%C3%A4chsUnfEntschVO/11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