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SächsUnfEntschVO (Sachsen) — Einsatz beim Ein- oder Aushängen von Außenlasten bei einem Drehflügelflugzeug (§ 1 Abs. 1 Nr. 9)</w:t>
      </w:r>
    </w:p>
    <w:p>
      <w:r>
        <w:rPr>
          <w:color w:val="555555"/>
          <w:sz w:val="18"/>
        </w:rPr>
        <w:t xml:space="preserve">Sächsische Unfallentschädigungsverordnung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Beamte, die unter einem schwebenden Drehflügelflugzeug Außenlasten an diesem Flugzeug ein- oder aushängen oder die Verbindung einer Steuerleitung zwischen Flugzeug und Außenlast herstellen oder lösen, befinden sich im Einsatz im Sinne des § 1 Abs. 9. Der Einsatz umfasst auch die Ausbildung und Erprobung.</w:t>
      </w:r>
    </w:p>
    <w:p>
      <w:r>
        <w:rPr>
          <w:color w:val="555555"/>
          <w:sz w:val="17"/>
        </w:rPr>
        <w:t xml:space="preserve">Zitiervorschlag: § 10 SächsUnfEntschVO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https://recht.nulegal.eu/gesetze/S%C3%A4chsUnfEntschVO/10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