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SächsUKG (Sachsen)</w:t>
      </w:r>
    </w:p>
    <w:p>
      <w:r>
        <w:rPr>
          <w:color w:val="555555"/>
          <w:sz w:val="18"/>
        </w:rPr>
        <w:t xml:space="preserve">Sächsisches Umzugskostengesetz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14. Oktober 1993 das folgende Gesetz beschlossen:</w:t>
      </w:r>
    </w:p>
    <w:p>
      <w:r>
        <w:rPr>
          <w:color w:val="555555"/>
          <w:sz w:val="17"/>
        </w:rPr>
        <w:t xml:space="preserve">Zitiervorschlag: Eingangsformel SächsUKG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https://recht.nulegal.eu/gesetze/S%C3%A4chsUKG/eingangsformel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SächsUKG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