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SächsUIG (Sachsen) — Anwendungsbereich</w:t>
      </w:r>
    </w:p>
    <w:p>
      <w:r>
        <w:rPr>
          <w:color w:val="555555"/>
          <w:sz w:val="18"/>
        </w:rPr>
        <w:t xml:space="preserve">Sächsisches Umweltinformationsgesetz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gilt für Umweltinformationen, über die die informationspflichtigen Stellen im Sinne des § 3 Absatz 1 verfügen. Es gilt nicht, soweit durch speziellere Rechtsvorschriften der Zugang zu Umweltinformationen ausdrücklich untersagt, ihre Geheimhaltung angeordnet oder ihre Verbreitung im Sinne des § 12 Absatz 4 geregelt ist. Der Anspruch aus Artikel 15 der Verordnung (EU) 2016/679 des Europäischen Parlaments und des Rates vom 27. April 2016 zum Schutz natürlicher Personen bei der Verarbeitung personenbezogener Daten, zum freien Datenverkehr und zur Aufhebung der Richtlinie 95/46/EG (ABl. L 199 vom 4.5.2016, S. 1, L 314 vom 22.11.2016, S. 72), in der jeweils geltenden Fassung, und Ansprüche nach dem Sächsischen Transparenzgesetz vom 19. August 2022 (SächsGVBl. S. 486), in der jeweils geltenden Fassung, bleiben unberührt.</w:t>
      </w:r>
    </w:p>
    <w:p>
      <w:r>
        <w:rPr>
          <w:color w:val="555555"/>
          <w:sz w:val="17"/>
        </w:rPr>
        <w:t xml:space="preserve">Zitiervorschlag: § 2 SächsUIG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https://recht.nulegal.eu/gesetze/S%C3%A4chsUIG/2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