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SächsUIG (Sachsen) — Rechtsweg</w:t>
      </w:r>
    </w:p>
    <w:p>
      <w:r>
        <w:rPr>
          <w:color w:val="555555"/>
          <w:sz w:val="18"/>
        </w:rPr>
        <w:t xml:space="preserve">Sächsisches Umweltinformationsgesetz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Streitigkeiten über Ansprüche nach diesem Gesetz gegen eine private informationspflichtige Stelle ist der Verwaltungsrechtsweg gegeben.</w:t>
      </w:r>
    </w:p>
    <w:p>
      <w:r>
        <w:rPr>
          <w:color w:val="555555"/>
          <w:sz w:val="17"/>
        </w:rPr>
        <w:t xml:space="preserve">Zitiervorschlag: § 10 SächsUIG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https://recht.nulegal.eu/gesetze/S%C3%A4chsUIG/10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SächsUIG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