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SächsUAVO (Sachsen)</w:t>
      </w:r>
    </w:p>
    <w:p>
      <w:r>
        <w:rPr>
          <w:color w:val="555555"/>
          <w:sz w:val="18"/>
        </w:rPr>
        <w:t xml:space="preserve">Sächsische Umlegungsausschussverordnung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46 Abs. 2 und § 80 Abs. 5 des Baugesetzbuches ( BauGB ) in der Fassung der Bekanntmachung vom 23. September 2004 (BGBl. I S. 2414), das zuletzt durch Artikel 1 des Gesetzes vom 21. Dezember 2006 (BGBl. I S. 3316) geändert worden ist, wird verordnet:</w:t>
      </w:r>
    </w:p>
    <w:p>
      <w:r>
        <w:rPr>
          <w:color w:val="555555"/>
          <w:sz w:val="17"/>
        </w:rPr>
        <w:t xml:space="preserve">Zitiervorschlag: Eingangsformel SächsUAVO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https://recht.nulegal.eu/gesetze/S%C3%A4chsUAVO/eingangsformel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