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SächsUAVO (Sachsen) — Beratung durch Sachverständige</w:t>
      </w:r>
    </w:p>
    <w:p>
      <w:r>
        <w:rPr>
          <w:color w:val="555555"/>
          <w:sz w:val="18"/>
        </w:rPr>
        <w:t xml:space="preserve">Sächsische Umlegungsausschussverordnung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 den Sitzungen können Sachverständige mit beratender Stimme hinzugezogen werden.</w:t>
      </w:r>
    </w:p>
    <w:p>
      <w:r>
        <w:t xml:space="preserve">(2) Für die Sachverständigen gilt § 4 Abs. 1 entsprechend. Sie sind über ihre Pflichten aktenkundig zu belehren.</w:t>
      </w:r>
    </w:p>
    <w:p>
      <w:r>
        <w:rPr>
          <w:color w:val="555555"/>
          <w:sz w:val="17"/>
        </w:rPr>
        <w:t xml:space="preserve">Zitiervorschlag: § 6 SächsUAVO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https://recht.nulegal.eu/gesetze/S%C3%A4chsUAVO/6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