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SächsUAVO (Sachsen) — Tätigkeit des Umlegungsausschusses</w:t>
      </w:r>
    </w:p>
    <w:p>
      <w:r>
        <w:rPr>
          <w:color w:val="555555"/>
          <w:sz w:val="18"/>
        </w:rPr>
        <w:t xml:space="preserve">Sächsische Umlegungsausschussverordnung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Umlegungsausschuss entscheidet selbständig und in eigener Verantwortung. Er ist an Aufträge und Weisungen nicht gebunden.</w:t>
      </w:r>
    </w:p>
    <w:p>
      <w:r>
        <w:t xml:space="preserve">(2) Die Sitzungen des Umlegungsausschusses sind nicht öffentlich. Beschlüsse werden mit Stimmenmehrheit gefasst. Bei Stimmengleichheit entscheidet die Stimme des Vorsitzenden.</w:t>
      </w:r>
    </w:p>
    <w:p>
      <w:r>
        <w:t xml:space="preserve">(3) Der Umlegungsausschuss kann allgemein oder im Einzelfall die Entscheidung über Vorgänge nach § 51 BauGB von geringer Bedeutung der Geschäftsstelle übertragen.</w:t>
      </w:r>
    </w:p>
    <w:p>
      <w:r>
        <w:rPr>
          <w:color w:val="555555"/>
          <w:sz w:val="17"/>
        </w:rPr>
        <w:t xml:space="preserve">Zitiervorschlag: § 5 SächsUAVO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https://recht.nulegal.eu/gesetze/S%C3%A4chsUAVO/5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