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SächsUAVO (Sachsen) — Übergangsregelung</w:t>
      </w:r>
    </w:p>
    <w:p>
      <w:r>
        <w:rPr>
          <w:color w:val="555555"/>
          <w:sz w:val="18"/>
        </w:rPr>
        <w:t xml:space="preserve">Sächsische Umlegungsausschussverordnung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Bestehende Umlegungsausschüsse, die die Anforderungen an die Zusammensetzung nach § 2 nicht erfüllen, sind innerhalb von sechs Monaten nach Inkrafttreten dieser Verordnung neu zu wählen.</w:t>
      </w:r>
    </w:p>
    <w:p>
      <w:r>
        <w:rPr>
          <w:color w:val="555555"/>
          <w:sz w:val="17"/>
        </w:rPr>
        <w:t xml:space="preserve">Zitiervorschlag: § 10 SächsUAVO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https://recht.nulegal.eu/gesetze/S%C3%A4chsUAVO/10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