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SächsUAVO (Sachsen) — Bildung von Umlegungsausschüssen</w:t>
      </w:r>
    </w:p>
    <w:p>
      <w:r>
        <w:rPr>
          <w:color w:val="555555"/>
          <w:sz w:val="18"/>
        </w:rPr>
        <w:t xml:space="preserve">Sächsische Umlegungsausschussverordnung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Zur Durchführung einer Umlegung hat die Gemeinde einen Umlegungsausschuss zu bilden, sofern sie nicht von ihrer Befugnis zur Übertragung der Durchführung der Umlegung nach § 46 Abs. 4 Satz 1 BauGB Gebrauch macht. Satz 1 gilt auch für das vereinfachte Umlegungsverfahren gemäß § 80 BauGB .</w:t>
      </w:r>
    </w:p>
    <w:p>
      <w:r>
        <w:t xml:space="preserve">(2) Der Umlegungsausschuss hat die der Umlegungsstelle zustehenden Befugnisse mit Ausnahme der Anordnung der Umlegung nach § 46 Abs. 1 BauGB .</w:t>
      </w:r>
    </w:p>
    <w:p>
      <w:r>
        <w:t xml:space="preserve">(3) In Gemeinden, in denen Bedarf hierfür besteht, kann ein ständiger Umlegungsausschuss gebildet werden. Mehrere Gemeinden können durch öffentlich-rechtliche Vereinbarung einen gemeinsamen Umlegungsausschuss bilden.</w:t>
      </w:r>
    </w:p>
    <w:p>
      <w:r>
        <w:rPr>
          <w:color w:val="555555"/>
          <w:sz w:val="17"/>
        </w:rPr>
        <w:t xml:space="preserve">Zitiervorschlag: § 1 SächsUAVO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https://recht.nulegal.eu/gesetze/S%C3%A4chsUAVO/1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