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SächsTierNebZuVO (Sachsen)</w:t>
      </w:r>
    </w:p>
    <w:p>
      <w:r>
        <w:rPr>
          <w:color w:val="555555"/>
          <w:sz w:val="18"/>
        </w:rPr>
        <w:t xml:space="preserve">Zuständigkeitsverordnung Tierische Nebenprodukte</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1 Abs. 6 des Sächsischen Ausführungsgesetzes zum Tierische Nebenprodukte-Beseitigungsgesetz und zu weiteren Vorschriften über die Verarbeitung und Beseitigung von nicht für den menschlichen Verzehr bestimmten tierischen Nebenprodukten (SächsAGTierNebG) vom 9. Dezember 2004 (SächsGVBl. S. 579), das zuletzt durch Artikel 42 des Gesetzes vom 27. Januar 2012 (SächsGVBl. S. 130, 146) geändert worden ist, wird verordnet:</w:t>
      </w:r>
    </w:p>
    <w:p>
      <w:r>
        <w:rPr>
          <w:color w:val="555555"/>
          <w:sz w:val="17"/>
        </w:rPr>
        <w:t xml:space="preserve">Zitiervorschlag: Eingangsformel SächsTierNebZuVO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https://recht.nulegal.eu/gesetze/S%C3%A4chsTierNebZuVO/eingangsformel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