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SächsTierNebZuVO (Sachsen) — Inkrafttreten</w:t>
      </w:r>
    </w:p>
    <w:p>
      <w:r>
        <w:rPr>
          <w:color w:val="555555"/>
          <w:sz w:val="18"/>
        </w:rPr>
        <w:t xml:space="preserve">Zuständigkeitsverordnung Tierische Nebenprodukte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3. Dezember 2013</w:t>
      </w:r>
    </w:p>
    <w:p>
      <w:r>
        <w:t xml:space="preserve">Die Staatsministerin für Soziales und Verbraucherschutz</w:t>
      </w:r>
    </w:p>
    <w:p>
      <w:r>
        <w:t xml:space="preserve">Christine Clauß</w:t>
      </w:r>
    </w:p>
    <w:p>
      <w:r>
        <w:rPr>
          <w:color w:val="555555"/>
          <w:sz w:val="17"/>
        </w:rPr>
        <w:t xml:space="preserve">Zitiervorschlag: § 2 SächsTierNebZuVO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https://recht.nulegal.eu/gesetze/S%C3%A4chsTierNebZuVO/2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