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SächsTierNebZuVO (Sachsen) — Zuständige Behörden</w:t>
      </w:r>
    </w:p>
    <w:p>
      <w:r>
        <w:rPr>
          <w:color w:val="555555"/>
          <w:sz w:val="18"/>
        </w:rPr>
        <w:t xml:space="preserve">Zuständigkeitsverordnung Tierische Nebenprodukte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Behörden sind:</w:t>
      </w:r>
    </w:p>
    <w:p>
      <w:r>
        <w:t xml:space="preserve">1. das Staatsministerium für Soziales und Verbraucherschutz für die</w:t>
      </w:r>
    </w:p>
    <w:p>
      <w:r>
        <w:t xml:space="preserve">a)</w:t>
      </w:r>
    </w:p>
    <w:p>
      <w:r>
        <w:t xml:space="preserve">Zulassung der Beseitigung tierischer Nebenprodukte nach Artikel 19 Absatz 1 Buchstabe b, c und e der Verordnung (EG) Nr. 1069/2009 des Europäischen Parlaments und des Rates vom 21. Oktober 2009 mit Hygienevorschriften für nicht für den menschlichen Verzehr bestimmte tierische Nebenprodukte und zur Aufhebung der Verordnung (EG) Nr. 1774/2002 (Verordnung über tierische Nebenprodukte) (ABl. L 300 vom 14.11.2009, S. 1), die zuletzt durch die Verordnung (EU) Nr. 1385/2013 (ABl. L 354 vom 28.12.2013, S. 86) geändert worden ist, in der jeweils geltenden Fassung,</w:t>
      </w:r>
    </w:p>
    <w:p>
      <w:r>
        <w:t xml:space="preserve">b)</w:t>
      </w:r>
    </w:p>
    <w:p>
      <w:r>
        <w:t xml:space="preserve">Mitwirkung am Verfahren nach Artikel 20 Absatz 2, 3 und 8 der Verordnung (EG) Nr. 1069/2009,</w:t>
      </w:r>
    </w:p>
    <w:p>
      <w:r>
        <w:t xml:space="preserve">c)</w:t>
      </w:r>
    </w:p>
    <w:p>
      <w:r>
        <w:t xml:space="preserve">Entgegennahme der Information an die zuständige Behörde des Bestimmungsmitgliedstaats nach Artikel 48 Absatz 1 Satz 1 der Verordnung (EG) Nr. 1069/2009 und Entscheidung nach Artikel 48 Absatz 1 Satz 2 der Verordnung (EG) Nr. 1069/2009,</w:t>
      </w:r>
    </w:p>
    <w:p>
      <w:r>
        <w:t xml:space="preserve">d)</w:t>
      </w:r>
    </w:p>
    <w:p>
      <w:r>
        <w:t xml:space="preserve">Gestattung von Einfuhren und Durchfuhren nach den Artikeln 26 und 27 Nummer 1 sowie Artikel 28 Nummer 1 und 3 der Verordnung (EU) Nr. 142/2011 der Kommission vom 25. Februar 2011 zur Durchführung der Verordnung (EG) Nr. 1069/2009 des Europäischen Parlaments und des Rates mit Hygienevorschriften für nicht für den menschlichen Verzehr bestimmte tierische Nebenprodukte sowie zur Durchführung der Richtlinie 97/78/EG des Rates hinsichtlich bestimmter gemäß der genannten Richtlinie von Veterinärkontrollen an der Grenze befreiter Proben und Waren (ABl. L 54 vom 26.2.2011, S. 1), die zuletzt durch die Verordnung (EU) 2019/319 (ABl. L 61 vom 28.2.2019, S. 1) geändert worden ist, in der jeweils geltenden Fassung,</w:t>
      </w:r>
    </w:p>
    <w:p>
      <w:r>
        <w:t xml:space="preserve">e)</w:t>
      </w:r>
    </w:p>
    <w:p>
      <w:r>
        <w:t xml:space="preserve">Meldungen nach § 26 Absatz 2 der Tierische Nebenprodukte-Beseitigungsverordnung vom 27. Juli 2006 (BGBl. I S. 1735), die zuletzt durch Artikel 3 des Gesetzes vom 4. Dezember 2018 (BGBl. I S. 2254) geändert worden ist, in der jeweils geltenden Fassung;</w:t>
      </w:r>
    </w:p>
    <w:p>
      <w:r>
        <w:t xml:space="preserve">2. die Landesdirektion Sachsen für die</w:t>
      </w:r>
    </w:p>
    <w:p>
      <w:r>
        <w:t xml:space="preserve">a)</w:t>
      </w:r>
    </w:p>
    <w:p>
      <w:r>
        <w:t xml:space="preserve">Zulassung von Anlagen oder Betrieben nach Artikel 24 Absatz 1 Buchstabe a bis d der Verordnung (EG) Nr. 1069/2009 für Material der Kategorie 1 und der Kategorie 2,</w:t>
      </w:r>
    </w:p>
    <w:p>
      <w:r>
        <w:t xml:space="preserve">b)</w:t>
      </w:r>
    </w:p>
    <w:p>
      <w:r>
        <w:t xml:space="preserve">Gestattung alternativer Verarbeitungsparameter für Biogas- und Kompostieranlagen nach Artikel 10 Nummer 3 der Verordnung (EU) Nr. 142/2011,</w:t>
      </w:r>
    </w:p>
    <w:p>
      <w:r>
        <w:t xml:space="preserve">c)</w:t>
      </w:r>
    </w:p>
    <w:p>
      <w:r>
        <w:t xml:space="preserve">Erteilung einer Zulassungs- und Registriernummer sowie Erfassung von zugelassenen und registrierten Anlagen in einem Register nach § 26 Absatz 1 der Tierische Nebenprodukte-Beseitigungsverordnung ,</w:t>
      </w:r>
    </w:p>
    <w:p>
      <w:r>
        <w:t xml:space="preserve">d)</w:t>
      </w:r>
    </w:p>
    <w:p>
      <w:r>
        <w:t xml:space="preserve">Genehmigung von Verarbeitungsmethoden und die übrigen Maßnahmen nach Anhang IV Kapitel III Buchstabe G der Verordnung (EU) Nr. 142/2011,</w:t>
      </w:r>
    </w:p>
    <w:p>
      <w:r>
        <w:t xml:space="preserve">e)</w:t>
      </w:r>
    </w:p>
    <w:p>
      <w:r>
        <w:t xml:space="preserve">Genehmigung der Verwendung zu Forschungszwecken und anderen spezifischen Zwecken nach Artikel 17 der Verordnung (EG) Nr. 1069/2009,</w:t>
      </w:r>
    </w:p>
    <w:p>
      <w:r>
        <w:t xml:space="preserve">f)</w:t>
      </w:r>
    </w:p>
    <w:p>
      <w:r>
        <w:t xml:space="preserve">Genehmigung der Verwendung zu besonderen Fütterungszwecken nach Artikel 18 der Verordnung (EG) Nr. 1069/2009.</w:t>
      </w:r>
    </w:p>
    <w:p>
      <w:r>
        <w:rPr>
          <w:color w:val="555555"/>
          <w:sz w:val="17"/>
        </w:rPr>
        <w:t xml:space="preserve">Zitiervorschlag: § 1 SächsTierNebZuVO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https://recht.nulegal.eu/gesetze/S%C3%A4chsTierNebZuVO/1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