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SächsThUGAG (Sachsen)</w:t>
      </w:r>
    </w:p>
    <w:p>
      <w:r>
        <w:rPr>
          <w:color w:val="555555"/>
          <w:sz w:val="18"/>
        </w:rPr>
        <w:t xml:space="preserve">Sächsisches Therapieunterbringungsausführungsgesetz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Sächsische Landtag hat am 13. März 2013 das folgende Gesetz beschlossen:</w:t>
      </w:r>
    </w:p>
    <w:p>
      <w:r>
        <w:rPr>
          <w:color w:val="555555"/>
          <w:sz w:val="17"/>
        </w:rPr>
        <w:t xml:space="preserve">Zitiervorschlag: Eingangsformel SächsThUGAG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https://recht.nulegal.eu/gesetze/S%C3%A4chsThUGAG/eingangsformel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