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SächsTechPrüfVO (Sachsen)</w:t>
      </w:r>
    </w:p>
    <w:p>
      <w:r>
        <w:rPr>
          <w:color w:val="555555"/>
          <w:sz w:val="18"/>
        </w:rPr>
        <w:t xml:space="preserve">Sächsische Technische Prüfverordnung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82 Abs. 1 Nr. 3 und 4 der Sächsischen Bauordnung ( SächsBO ) vom 18. März 1999 (SächsGVBl. S. 86, 186) wird verordnet:</w:t>
      </w:r>
    </w:p>
    <w:p>
      <w:r>
        <w:rPr>
          <w:color w:val="555555"/>
          <w:sz w:val="17"/>
        </w:rPr>
        <w:t xml:space="preserve">Zitiervorschlag: Eingangsformel SächsTechPrüfVO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https://recht.nulegal.eu/gesetze/S%C3%A4chsTechPr%C3%BCfVO/eingangsformel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