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SächsTechPrüfVO (Sachsen) — Bestehende Anlagen</w:t>
      </w:r>
    </w:p>
    <w:p>
      <w:r>
        <w:rPr>
          <w:color w:val="555555"/>
          <w:sz w:val="18"/>
        </w:rPr>
        <w:t xml:space="preserve">Sächsische Technische Prüfverordnung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bestehenden technischen Anlagen ist die Frist nach § 2 Absatz 2 vom Zeitpunkt der letzten Prüfung zu rechnen. Wurde eine Prüfung nach § 2 bisher nicht vorgenommen, ist die erste Prüfung innerhalb eines Jahres nach In-Kraft-Treten dieser Verordnung durchführen zu lassen.</w:t>
      </w:r>
    </w:p>
    <w:p>
      <w:r>
        <w:rPr>
          <w:color w:val="555555"/>
          <w:sz w:val="17"/>
        </w:rPr>
        <w:t xml:space="preserve">Zitiervorschlag: § 3 SächsTechPrüfVO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https://recht.nulegal.eu/gesetze/S%C3%A4chsTechPr%C3%BCfVO/3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