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SächsTGV (Sachsen)</w:t>
      </w:r>
    </w:p>
    <w:p>
      <w:r>
        <w:rPr>
          <w:color w:val="555555"/>
          <w:sz w:val="18"/>
        </w:rPr>
        <w:t xml:space="preserve">Sächsische Trennungsgeldverordnung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Es wird verordnet aufgrund von</w:t>
      </w:r>
    </w:p>
    <w:p>
      <w:r>
        <w:t xml:space="preserve">1. § 21 Abs. 1 des Sächsischen Gesetzes über die Reisekostenvergütung der Beamten und Richter (Sächsisches Reisekostengesetz – SächsRKG ) vom 17. Januar 1994 (SächsGVBl. S. 105) und</w:t>
      </w:r>
    </w:p>
    <w:p>
      <w:r>
        <w:t xml:space="preserve">2. § 12 Abs. 4 des Sächsischen Gesetzes über die Umzugskostenvergütung der Beamten und Richter (Sächsisches Umzugskostengesetz – SächsUKG ) vom 23. November 1993 (SächsGVBl. S. 1070):</w:t>
      </w:r>
    </w:p>
    <w:p>
      <w:r>
        <w:rPr>
          <w:color w:val="555555"/>
          <w:sz w:val="17"/>
        </w:rPr>
        <w:t xml:space="preserve">Zitiervorschlag: Eingangsformel SächsTGV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https://recht.nulegal.eu/gesetze/S%C3%A4chsTGV/eingangsformel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