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SächsStrVRVO (Sachsen) — Zuständigkeit für die Erteilung und Entziehung der Zulassung von Containern</w:t>
      </w:r>
    </w:p>
    <w:p>
      <w:r>
        <w:rPr>
          <w:color w:val="555555"/>
          <w:sz w:val="18"/>
        </w:rPr>
        <w:t xml:space="preserve">Sächsische Straßenverkehrsrechtsverordnung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Das Landesamt für Straßenbau und Verkehr ist zuständig für die Erteilung und Entziehung der Zulassung von Containern nach Artikel 3 Absatz 2 des Gesetzes zu dem Übereinkommen vom 2. Dezember 1972 über sichere Container vom 10. Februar 1976 (BGBl. 1976 II S. 253), das zuletzt durch Artikel 12 des Gesetzes vom 8. Juli 2016 (BGBl. I S. 1594) geändert worden ist, in der jeweils geltenden Fassung.</w:t>
      </w:r>
    </w:p>
    <w:p>
      <w:r>
        <w:rPr>
          <w:color w:val="555555"/>
          <w:sz w:val="17"/>
        </w:rPr>
        <w:t xml:space="preserve">Zitiervorschlag: § 6 SächsStrVRVO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