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SächsStrVRVO (Sachsen) — Zuständigkeiten für die Ausstellung des Fahrerqualifizierungsnachweises</w:t>
      </w:r>
    </w:p>
    <w:p>
      <w:r>
        <w:rPr>
          <w:color w:val="555555"/>
          <w:sz w:val="18"/>
        </w:rPr>
        <w:t xml:space="preserve">Sächsische Straßenverkehrsrechtsverordnung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Landesamt für Straßenbau und Verkehr ist die nach Landesrecht zuständige Behörde für die Ausführung des Berufskraftfahrerqualifikationsgesetzes vom 26. November 2020 (BGBl. I S. 2575), in der jeweils geltenden Fassung, und der auf Grund dieses Gesetzes erlassenen Rechtsverordnungen, sofern nichts anderes bestimmt ist.</w:t>
      </w:r>
    </w:p>
    <w:p>
      <w:r>
        <w:t xml:space="preserve">(2) Abweichend davon sind die Fahrerlaubnisbehörden zuständig für</w:t>
      </w:r>
    </w:p>
    <w:p>
      <w:r>
        <w:t xml:space="preserve">1. die Ausstellung des Fahrerqualifizierungsnachweises nach § 7 Absatz 1 des Berufskraftfahrerqualifikationsgesetzes in Verbindung mit § 8 und § 9 der Berufskraftfahrerqualifikationsverordnung vom 9. Dezember 2020 (BGBl. I S. 2905), in den jeweils geltenden Fassungen,</w:t>
      </w:r>
    </w:p>
    <w:p>
      <w:r>
        <w:t xml:space="preserve">2. die Übermittlung der Daten, die für die Herstellung des Fahrerqualifizierungsnachweises erforderlich sind, an den Hersteller nach § 15 Nummer 1 des Berufskraftfahrerqualifikationsgesetzes ,</w:t>
      </w:r>
    </w:p>
    <w:p>
      <w:r>
        <w:t xml:space="preserve">3. die Übermittlung der Daten zu Fahrerqualifizierungsnachweisen zur Speicherung im Berufskraftfahrerqualifikationsregisters nach § 18 Absatz 1 des Berufskraftfahrerqualifikationsgesetzes ,</w:t>
      </w:r>
    </w:p>
    <w:p>
      <w:r>
        <w:t xml:space="preserve">4. die Übermittlung von im Fall einer Anrechnung anderer abgeschlossener Maßnahmen zu speichernden Daten nach § 18 Absatz 2 des Berufskraftfahrerqualifikationsgesetzes ,</w:t>
      </w:r>
    </w:p>
    <w:p>
      <w:r>
        <w:t xml:space="preserve">5. die Anrechnung von Aus- oder Weiterbildungsmaßnahmen nach § 2 Absatz 5 und § 4 Absatz 4 der Berufskraftfahrerqualifikationsverordnung.</w:t>
      </w:r>
    </w:p>
    <w:p>
      <w:r>
        <w:rPr>
          <w:color w:val="555555"/>
          <w:sz w:val="17"/>
        </w:rPr>
        <w:t xml:space="preserve">Zitiervorschlag: § 4 SächsStrVRVO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https://recht.nulegal.eu/gesetze/S%C3%A4chsStrVRVO/4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