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SächsStrVRVO (Sachsen) — Inkrafttreten</w:t>
      </w:r>
    </w:p>
    <w:p>
      <w:r>
        <w:rPr>
          <w:color w:val="555555"/>
          <w:sz w:val="18"/>
        </w:rPr>
        <w:t xml:space="preserve">Sächsische Straßenverkehrsrechtsverordnung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vorbehaltlich des Satzes 2 am Tag nach der Verkündung in Kraft. § 4 Absatz 2 tritt am 23. Mai 2021 in Kraft.</w:t>
      </w:r>
    </w:p>
    <w:p>
      <w:r>
        <w:t xml:space="preserve">Dresden, den 28. April 2021</w:t>
      </w:r>
    </w:p>
    <w:p>
      <w:r>
        <w:t xml:space="preserve">Der Staatsminister für Wirtschaft, Arbeit und Verkehr</w:t>
      </w:r>
    </w:p>
    <w:p>
      <w:r>
        <w:t xml:space="preserve">Martin Dulig</w:t>
      </w:r>
    </w:p>
    <w:p>
      <w:r>
        <w:rPr>
          <w:color w:val="555555"/>
          <w:sz w:val="17"/>
        </w:rPr>
        <w:t xml:space="preserve">Zitiervorschlag: § 10 SächsStrVRVO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https://recht.nulegal.eu/gesetze/S%C3%A4chsStrVRVO/10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