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SächsStrVRG (Sachsen) — Höhere Verwaltungsbehörde</w:t>
      </w:r>
    </w:p>
    <w:p>
      <w:r>
        <w:rPr>
          <w:color w:val="555555"/>
          <w:sz w:val="18"/>
        </w:rPr>
        <w:t xml:space="preserve">Sächsisches Straßenverkehrsrechtsgesetz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höhere Verwaltungsbehörde ist zuständig für</w:t>
      </w:r>
    </w:p>
    <w:p>
      <w:r>
        <w:t xml:space="preserve">1. die Erteilung von Ausnahmegenehmigungen nach § 74 Absatz 1 der Fahrerlaubnis-Verordnung , soweit nicht nach § 7 Absatz 2 die Fahrerlaubnisbehörden zuständig sind,</w:t>
      </w:r>
    </w:p>
    <w:p>
      <w:r>
        <w:t xml:space="preserve">2. die Anerkennung öffentlicher Schulen oder privater Ersatzschulen als Träger der Ausbildung (§ 5 Absatz 3 Satz 1 der Fahrerlaubnis-Verordnung ),</w:t>
      </w:r>
    </w:p>
    <w:p>
      <w:r>
        <w:t xml:space="preserve">3. die Festlegung der Prüforte für die praktische Prüfung (§ 17 Absatz 4 Satz 4 der Fahrerlaubnis-Verordnung ),</w:t>
      </w:r>
    </w:p>
    <w:p>
      <w:r>
        <w:t xml:space="preserve">4. die amtliche Anerkennung als Kursleiter für besondere Aufbauseminare (§ 36 Absatz 6 Satz 1 der Fahrerlaubnis-Verordnung ),</w:t>
      </w:r>
    </w:p>
    <w:p>
      <w:r>
        <w:t xml:space="preserve">5. die amtliche Anerkennung von Begutachtungsstellen für Fahreignung und die Anordnung einer Begutachtung (§ 66 Absatz 1 und 7 der Fahrerlaubnis-Verordnung ),</w:t>
      </w:r>
    </w:p>
    <w:p>
      <w:r>
        <w:t xml:space="preserve">6. die Anerkennung von Stellen für Schulungen in Erster Hilfe (§ 68 Absatz 1 der Fahrerlaubnis-Verordnung ),</w:t>
      </w:r>
    </w:p>
    <w:p>
      <w:r>
        <w:t xml:space="preserve">7. die Anerkennung von Trägern von Kursen zur Wiederherstellung der Kraftfahreignung sowie die Rücknahme und den Widerruf dieser Anerkennung (§ 70 der Fahrerlaubnis-Verordnung ),</w:t>
      </w:r>
    </w:p>
    <w:p>
      <w:r>
        <w:t xml:space="preserve">8. die Rücknahme und den Widerruf der Anerkennung der verkehrspsychologischen Berater sowie die Aufsicht über die verkehrspsychologischen Berater (§ 71 Absatz 5 der Fahrerlaubnis-Verordnung ),</w:t>
      </w:r>
    </w:p>
    <w:p>
      <w:r>
        <w:t xml:space="preserve">9. die Erteilung und den Widerruf der amtlichen Anerkennung der Träger unabhängiger Stellen für die Bestätigung der Eignung von eingesetzten psychologischen Testverfahren und -geräten sowie von Kursen zur Wiederherstellung der Kraftfahreignung sowie die Anordnung der Beibringung eines Gutachtens (§ 71a Absatz 2, 6 und 7 sowie § 71b in Verbindung mit § 71a Absatz 2, 6 und 7 der Fahrerlaubnis-Verordnung ),</w:t>
      </w:r>
    </w:p>
    <w:p>
      <w:r>
        <w:t xml:space="preserve">10. die Erteilung von Seminarerlaubnissen Verkehrspsychologie und die Anordnung nachträglicher Auflagen nach § 4a Absatz 3 Satz 2 und 3 des Straßenverkehrsgesetzes in der Fassung der Bekanntmachung vom 5. März 2003 (BGBl. I S. 310, 919), das zuletzt durch Artikel 3 des Gesetzes vom 4. Dezember 2018 (BGBl. I S. 2251) geändert worden ist, in der jeweils geltenden Fassung, sowie die Überwachung des Seminars Verkehrspsychologie nach § 4a Absatz 8 des Straßenverkehrsgesetzes ,</w:t>
      </w:r>
    </w:p>
    <w:p>
      <w:r>
        <w:t xml:space="preserve">11. die Anordnung von Tilgungen nach § 29 Absatz 3 Nummer 2 des Straßenverkehrsgesetzes .</w:t>
      </w:r>
    </w:p>
    <w:p>
      <w:r>
        <w:rPr>
          <w:color w:val="555555"/>
          <w:sz w:val="17"/>
        </w:rPr>
        <w:t xml:space="preserve">Zitiervorschlag: § 8 SächsStrVRG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https://recht.nulegal.eu/gesetze/S%C3%A4chsStrVRG/8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