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SächsStrVRG (Sachsen) — Höhere Straßenverkehrsbehörde</w:t>
      </w:r>
    </w:p>
    <w:p>
      <w:r>
        <w:rPr>
          <w:color w:val="555555"/>
          <w:sz w:val="18"/>
        </w:rPr>
        <w:t xml:space="preserve">Sächsisches Straßenverkehrsrechtsgesetz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höhere Straßenverkehrsbehörde erfüllt alle Aufgaben, die die Straßenverkehrs-Ordnung den höheren Verwaltungsbehörden zuweist. Darüber hinaus ist sie zuständig für</w:t>
      </w:r>
    </w:p>
    <w:p>
      <w:r>
        <w:t xml:space="preserve">1. die Genehmigung von Ausnahmen nach § 46 Absatz 2 Satz 1 der Straßenverkehrs-Ordnung von allen Vorschriften der Straßenverkehrs-Ordnung , soweit diese nicht nach § 3 Satz 2 Nummer 1 den unteren Straßenverkehrsbehörden zugewiesen wurden,</w:t>
      </w:r>
    </w:p>
    <w:p>
      <w:r>
        <w:t xml:space="preserve">2. die Erteilung von Erlaubnissen für</w:t>
      </w:r>
    </w:p>
    <w:p>
      <w:r>
        <w:t xml:space="preserve">a)</w:t>
      </w:r>
    </w:p>
    <w:p>
      <w:r>
        <w:t xml:space="preserve">Veranstaltungen, für die Straßen mehr als verkehrsüblich in Anspruch genommen werden (§ 29 Absatz 2 der Straßenverkehrs-Ordnung ), wenn sich diese über das Gebiet des Freistaates Sachsen hinaus erstrecken,</w:t>
      </w:r>
    </w:p>
    <w:p>
      <w:r>
        <w:t xml:space="preserve">b)</w:t>
      </w:r>
    </w:p>
    <w:p>
      <w:r>
        <w:t xml:space="preserve">Veranstaltungen mit Kraftfahrzeugen, wenn sie die Nachtruhe stören können (§ 30 Absatz 2 der Straßenverkehrs-Ordnung ), wenn diese sich über das Gebiet des Freistaates Sachsen hinaus erstrecken.</w:t>
      </w:r>
    </w:p>
    <w:p>
      <w:r>
        <w:rPr>
          <w:color w:val="555555"/>
          <w:sz w:val="17"/>
        </w:rPr>
        <w:t xml:space="preserve">Zitiervorschlag: § 4 SächsStrVRG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https://recht.nulegal.eu/gesetze/S%C3%A4chsStrVRG/4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