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SächsStrVRG (Sachsen) — Zuständigkeit der Gemeinden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Gemeinden können Gebührenordnungen für</w:t>
      </w:r>
    </w:p>
    <w:p>
      <w:r>
        <w:t xml:space="preserve">1. das Parken auf öffentlichen Wegen und Plätzen sowie</w:t>
      </w:r>
    </w:p>
    <w:p>
      <w:r>
        <w:t xml:space="preserve">2. die Benutzung von Parkplätzen im Sinne des § 6 Absatz 1 Nummer 13 des Straßenverkehrsgesetzes</w:t>
      </w:r>
    </w:p>
    <w:p>
      <w:r>
        <w:t xml:space="preserve">erlassen.</w:t>
      </w:r>
    </w:p>
    <w:p>
      <w:r>
        <w:rPr>
          <w:color w:val="555555"/>
          <w:sz w:val="17"/>
        </w:rPr>
        <w:t xml:space="preserve">Zitiervorschlag: § 25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