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SächsStrVRG (Sachsen) — Zuständigkeit des Staatsministeriums für Wirtschaft, Arbeit und Verkehr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für Wirtschaft, Arbeit und Verkehr ist als oberste Landesbehörde zuständig für</w:t>
      </w:r>
    </w:p>
    <w:p>
      <w:r>
        <w:t xml:space="preserve">1. die Benennung der zuständigen Genehmigungsbehörde im Zweifelsfall nach § 11 Absatz 3 Satz 2 des Personenbeförderungsgesetzes ,</w:t>
      </w:r>
    </w:p>
    <w:p>
      <w:r>
        <w:t xml:space="preserve">2. die Entscheidung bei fehlendem Einvernehmen nach § 11 Absatz 3 Satz 4 des Personenbeförderungsgesetzes ,</w:t>
      </w:r>
    </w:p>
    <w:p>
      <w:r>
        <w:t xml:space="preserve">3. die Entscheidung nach § 29 Absatz 3 des Personenbeförderungsgesetzes .</w:t>
      </w:r>
    </w:p>
    <w:p>
      <w:r>
        <w:rPr>
          <w:color w:val="555555"/>
          <w:sz w:val="17"/>
        </w:rPr>
        <w:t xml:space="preserve">Zitiervorschlag: § 23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https://recht.nulegal.eu/gesetze/S%C3%A4chsStrVRG/23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