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SächsStrVRG (Sachsen) — Zuständigkeit der Landkreise und Kreisfreien Städte</w:t>
      </w:r>
    </w:p>
    <w:p>
      <w:r>
        <w:rPr>
          <w:color w:val="555555"/>
          <w:sz w:val="18"/>
        </w:rPr>
        <w:t xml:space="preserve">Sächsisches Straßenverkehrsrechtsgesetz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den Vollzug des Personenbeförderungsgesetzes in der Fassung der Bekanntmachung vom 8. August 1990 (BGBl. I S. 1690), das zuletzt durch Artikel 2 Absatz 14 des Gesetzes vom 20. Juli 2017 (BGBl. I S. 2808) geändert worden ist, in der jeweils geltenden Fassung, und der auf Grund dieses Gesetzes erlassenen Rechtsverordnungen sind die Landkreise und Kreisfreien Städte zuständig.</w:t>
      </w:r>
    </w:p>
    <w:p>
      <w:r>
        <w:t xml:space="preserve">(2) Die der Landesregierung durch § 47 Absatz 3 Satz 1 und § 51 Absatz 1 Satz 1 des Personenbeförderungsgesetzes erteilte Ermächtigung zum Erlass von Rechtsverordnungen wird auf die Landkreise und Kreisfreien Städte übertragen.</w:t>
      </w:r>
    </w:p>
    <w:p>
      <w:r>
        <w:rPr>
          <w:color w:val="555555"/>
          <w:sz w:val="17"/>
        </w:rPr>
        <w:t xml:space="preserve">Zitiervorschlag: § 21 SächsStrVRG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https://recht.nulegal.eu/gesetze/S%C3%A4chsStrVRG/21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