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SächsStrVRG (Sachsen) — Zuständigkeit der Landkreise und Kreisfreien Städte</w:t>
      </w:r>
    </w:p>
    <w:p>
      <w:r>
        <w:rPr>
          <w:color w:val="555555"/>
          <w:sz w:val="18"/>
        </w:rPr>
        <w:t xml:space="preserve">Sächsisches Straßenverkehrsrechtsgesetz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Landkreise und Kreisfreien Städte sind zuständige Behörden für den gewerblichen Güterkraftverkehr nach § 3 Absatz 7 Satz 1 des Güterkraftverkehrsgesetzes vom 22. Juni 1998 (BGBl. I S. 1485), das zuletzt durch Artikel 2 des Gesetzes vom 4. Dezember 2018 (BGBl. I S. 2251) geändert worden ist, in der jeweils geltenden Fassung.</w:t>
      </w:r>
    </w:p>
    <w:p>
      <w:r>
        <w:rPr>
          <w:color w:val="555555"/>
          <w:sz w:val="17"/>
        </w:rPr>
        <w:t xml:space="preserve">Zitiervorschlag: § 20 SächsStrVRG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https://recht.nulegal.eu/gesetze/S%C3%A4chsStrVRG/20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