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SächsStrVRG (Sachsen) — Zuständigkeit der Landkreise und Kreisfreien Städte</w:t>
      </w:r>
    </w:p>
    <w:p>
      <w:r>
        <w:rPr>
          <w:color w:val="555555"/>
          <w:sz w:val="18"/>
        </w:rPr>
        <w:t xml:space="preserve">Sächsisches Straßenverkehrsrechtsgesetz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Landkreise und Kreisfreien Städte, für den Dienstbereich der Polizei das Polizeipräsidium für Service und IT, sind nach Landesrecht zuständige Behörden im Sinne des § 68 Absatz 1 der Straßenverkehrs-Zulassungs-Ordnung vom 26. April 2012 (BGBl. I S. 679), die zuletzt durch Artikel 1 der Verordnung vom 13. März 2019 (BGBl. I S. 332) geändert worden ist, in der jeweils geltenden Fassung, und im Sinne des § 46 Absatz 1 Satz 1 der Fahrzeug-Zulassungsverordnung vom 3. Februar 2011 (BGBl. I S. 139), die zuletzt durch Artikel 2 der Verordnung vom 22. März 2019 (BGBl. I S. 382) geändert worden ist, in der jeweils geltenden Fassung, soweit nichts anderes bestimmt ist.</w:t>
      </w:r>
    </w:p>
    <w:p>
      <w:r>
        <w:t xml:space="preserve">(2) Die Landkreise und Kreisfreien Städte sind darüber hinaus zuständig für</w:t>
      </w:r>
    </w:p>
    <w:p>
      <w:r>
        <w:t xml:space="preserve">1. die Erteilung von Ausnahmegenehmigungen nach § 47 Absatz 1 der Fahrzeug-Zulassungsverordnung von den Vorschriften über die Größe amtlicher Kennzeichen nach § 10 Absatz 2 der Fahrzeug-Zulassungsverordnung ,</w:t>
      </w:r>
    </w:p>
    <w:p>
      <w:r>
        <w:t xml:space="preserve">2. Genehmigungen nach § 2 Absatz 2 der EG-Fahrzeuggenehmigungsverordnung vom 3. Februar 2011 (BGBl. I S. 126), die zuletzt durch Artikel 7 der Verordnung vom 23. März 2017 (BGBl. I S. 522) geändert worden ist, in der jeweils geltenden Fassung.</w:t>
      </w:r>
    </w:p>
    <w:p>
      <w:r>
        <w:rPr>
          <w:color w:val="555555"/>
          <w:sz w:val="17"/>
        </w:rPr>
        <w:t xml:space="preserve">Zitiervorschlag: § 14 SächsStrVRG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https://recht.nulegal.eu/gesetze/S%C3%A4chsStrVRG/14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